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1CF1B" w14:textId="77777777" w:rsidR="00DB1C0D" w:rsidRPr="00A86EA3" w:rsidRDefault="00DB1C0D" w:rsidP="00A86E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DB1C0D" w:rsidRPr="00A86EA3" w14:paraId="30785A75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87314D4" w14:textId="77777777" w:rsidR="00DB1C0D" w:rsidRPr="00A86EA3" w:rsidRDefault="00000000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  <w:r w:rsidRPr="00A86EA3">
              <w:rPr>
                <w:rFonts w:asciiTheme="minorHAnsi" w:eastAsia="FreeSerif" w:hAnsiTheme="minorHAnsi" w:cstheme="minorHAnsi"/>
                <w:noProof/>
                <w:color w:val="666666"/>
                <w:sz w:val="24"/>
                <w:szCs w:val="24"/>
              </w:rPr>
              <w:drawing>
                <wp:inline distT="0" distB="0" distL="0" distR="0" wp14:anchorId="7B5DFF7F" wp14:editId="601F9B87">
                  <wp:extent cx="2898775" cy="1009015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41F2D093" w14:textId="77777777" w:rsidR="00DB1C0D" w:rsidRPr="00A86EA3" w:rsidRDefault="00DB1C0D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14:paraId="1B385CCA" w14:textId="77777777" w:rsidR="00DB1C0D" w:rsidRPr="00A86EA3" w:rsidRDefault="00000000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smallCaps/>
                <w:color w:val="666666"/>
                <w:sz w:val="24"/>
                <w:szCs w:val="24"/>
              </w:rPr>
            </w:pPr>
            <w:r w:rsidRPr="00A86EA3">
              <w:rPr>
                <w:rFonts w:asciiTheme="minorHAnsi" w:eastAsia="FreeSerif" w:hAnsiTheme="minorHAnsi" w:cstheme="minorHAnsi"/>
                <w:smallCaps/>
                <w:noProof/>
                <w:color w:val="666666"/>
                <w:sz w:val="24"/>
                <w:szCs w:val="24"/>
              </w:rPr>
              <w:drawing>
                <wp:inline distT="0" distB="0" distL="0" distR="0" wp14:anchorId="379E7591" wp14:editId="55110840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C4C6C80" w14:textId="77777777" w:rsidR="00DB1C0D" w:rsidRPr="00A86EA3" w:rsidRDefault="00DB1C0D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smallCaps/>
                <w:color w:val="666666"/>
                <w:sz w:val="24"/>
                <w:szCs w:val="24"/>
              </w:rPr>
            </w:pPr>
          </w:p>
          <w:p w14:paraId="7AEB5066" w14:textId="77777777" w:rsidR="00DB1C0D" w:rsidRPr="00A86EA3" w:rsidRDefault="00000000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  <w:r w:rsidRPr="00A86EA3">
              <w:rPr>
                <w:rFonts w:asciiTheme="minorHAnsi" w:eastAsia="FreeSerif" w:hAnsiTheme="minorHAnsi" w:cstheme="minorHAnsi"/>
                <w:smallCaps/>
                <w:noProof/>
                <w:color w:val="666666"/>
                <w:sz w:val="24"/>
                <w:szCs w:val="24"/>
              </w:rPr>
              <w:drawing>
                <wp:inline distT="0" distB="0" distL="0" distR="0" wp14:anchorId="09767185" wp14:editId="1FEDAEDF">
                  <wp:extent cx="1527175" cy="370840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C0D" w:rsidRPr="00A86EA3" w14:paraId="1AB3F707" w14:textId="77777777">
        <w:tc>
          <w:tcPr>
            <w:tcW w:w="115" w:type="dxa"/>
            <w:shd w:val="clear" w:color="auto" w:fill="auto"/>
          </w:tcPr>
          <w:p w14:paraId="143308A8" w14:textId="77777777" w:rsidR="00DB1C0D" w:rsidRPr="00A86EA3" w:rsidRDefault="00DB1C0D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04DFD9D2" w14:textId="77777777" w:rsidR="00DB1C0D" w:rsidRPr="00A86EA3" w:rsidRDefault="00000000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86EA3">
              <w:rPr>
                <w:rFonts w:asciiTheme="minorHAnsi" w:eastAsia="Arial" w:hAnsiTheme="minorHAnsi" w:cstheme="minorHAnsi"/>
                <w:i/>
                <w:color w:val="666666"/>
                <w:sz w:val="24"/>
                <w:szCs w:val="24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 w:rsidRPr="00A86EA3">
              <w:rPr>
                <w:rFonts w:asciiTheme="minorHAnsi" w:eastAsia="Arial" w:hAnsiTheme="minorHAnsi" w:cstheme="minorHAnsi"/>
                <w:i/>
                <w:color w:val="666666"/>
                <w:sz w:val="24"/>
                <w:szCs w:val="24"/>
              </w:rPr>
              <w:t>Toscana  IS</w:t>
            </w:r>
            <w:proofErr w:type="gramEnd"/>
            <w:r w:rsidRPr="00A86EA3">
              <w:rPr>
                <w:rFonts w:asciiTheme="minorHAnsi" w:eastAsia="Arial" w:hAnsiTheme="minorHAnsi" w:cstheme="minorHAnsi"/>
                <w:i/>
                <w:color w:val="666666"/>
                <w:sz w:val="24"/>
                <w:szCs w:val="24"/>
              </w:rPr>
              <w:t>0059 – ISO9001</w:t>
            </w:r>
          </w:p>
        </w:tc>
      </w:tr>
      <w:tr w:rsidR="00DB1C0D" w:rsidRPr="00A86EA3" w14:paraId="4BDAA09F" w14:textId="77777777">
        <w:tc>
          <w:tcPr>
            <w:tcW w:w="115" w:type="dxa"/>
            <w:shd w:val="clear" w:color="auto" w:fill="auto"/>
          </w:tcPr>
          <w:p w14:paraId="051881B1" w14:textId="77777777" w:rsidR="00DB1C0D" w:rsidRPr="00A86EA3" w:rsidRDefault="00DB1C0D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Liberation Sans Narrow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183414FB" w14:textId="77777777" w:rsidR="00DB1C0D" w:rsidRPr="00A86EA3" w:rsidRDefault="00000000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86EA3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115A512" w14:textId="77777777" w:rsidR="00DB1C0D" w:rsidRPr="00A86EA3" w:rsidRDefault="00000000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86EA3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e-mail: </w:t>
            </w:r>
            <w:r w:rsidRPr="00A86EA3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566A6CBE" w14:textId="77777777" w:rsidR="00DB1C0D" w:rsidRPr="00A86EA3" w:rsidRDefault="00000000" w:rsidP="00A86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86EA3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PEC: </w:t>
            </w:r>
            <w:r w:rsidRPr="00A86EA3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piis003007@pec.istruzione.it</w:t>
            </w:r>
          </w:p>
        </w:tc>
      </w:tr>
    </w:tbl>
    <w:p w14:paraId="1D50C74F" w14:textId="77777777" w:rsidR="00DB1C0D" w:rsidRPr="00A86EA3" w:rsidRDefault="00DB1C0D" w:rsidP="00A86EA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FAE97B" w14:textId="2BEE0E43" w:rsidR="00DB1C0D" w:rsidRPr="00B85FDE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A86EA3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PIANO DI LAVORO ANNUALE DEL DOCENTE A.S. </w:t>
      </w:r>
      <w:r w:rsidRPr="00B85FDE">
        <w:rPr>
          <w:rFonts w:asciiTheme="minorHAnsi" w:eastAsia="Calibri" w:hAnsiTheme="minorHAnsi" w:cstheme="minorHAnsi"/>
          <w:b/>
          <w:sz w:val="24"/>
          <w:szCs w:val="24"/>
        </w:rPr>
        <w:t>202</w:t>
      </w:r>
      <w:r w:rsidR="00B85FDE" w:rsidRPr="00B85FDE">
        <w:rPr>
          <w:rFonts w:asciiTheme="minorHAnsi" w:eastAsia="Calibri" w:hAnsiTheme="minorHAnsi" w:cstheme="minorHAnsi"/>
          <w:b/>
          <w:sz w:val="24"/>
          <w:szCs w:val="24"/>
        </w:rPr>
        <w:t>4</w:t>
      </w:r>
      <w:r w:rsidRPr="00B85FDE">
        <w:rPr>
          <w:rFonts w:asciiTheme="minorHAnsi" w:eastAsia="Calibri" w:hAnsiTheme="minorHAnsi" w:cstheme="minorHAnsi"/>
          <w:b/>
          <w:sz w:val="24"/>
          <w:szCs w:val="24"/>
        </w:rPr>
        <w:t>/2</w:t>
      </w:r>
      <w:r w:rsidR="00B85FDE" w:rsidRPr="00B85FDE">
        <w:rPr>
          <w:rFonts w:asciiTheme="minorHAnsi" w:eastAsia="Calibri" w:hAnsiTheme="minorHAnsi" w:cstheme="minorHAnsi"/>
          <w:b/>
          <w:sz w:val="24"/>
          <w:szCs w:val="24"/>
        </w:rPr>
        <w:t>5</w:t>
      </w:r>
    </w:p>
    <w:p w14:paraId="3ADBEDF9" w14:textId="77777777" w:rsidR="00DB1C0D" w:rsidRPr="00B85FDE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2453E94" w14:textId="77777777" w:rsidR="00DB1C0D" w:rsidRPr="00A86EA3" w:rsidRDefault="00DB1C0D" w:rsidP="00A86EA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bookmarkStart w:id="1" w:name="_heading=h.4muz54wz7ni7" w:colFirst="0" w:colLast="0"/>
      <w:bookmarkEnd w:id="1"/>
    </w:p>
    <w:p w14:paraId="557E746E" w14:textId="0F9DE53D" w:rsidR="00DB1C0D" w:rsidRPr="00B85FDE" w:rsidRDefault="00000000" w:rsidP="00A86EA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2" w:name="_heading=h.1i4gvvmky6lf" w:colFirst="0" w:colLast="0"/>
      <w:bookmarkEnd w:id="2"/>
      <w:r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Nome e cognome </w:t>
      </w:r>
      <w:r w:rsidR="008025F0" w:rsidRPr="00A86EA3">
        <w:rPr>
          <w:rFonts w:asciiTheme="minorHAnsi" w:eastAsia="Calibri" w:hAnsiTheme="minorHAnsi" w:cstheme="minorHAnsi"/>
          <w:b/>
          <w:sz w:val="24"/>
          <w:szCs w:val="24"/>
        </w:rPr>
        <w:t>d</w:t>
      </w:r>
      <w:r w:rsidRPr="00A86EA3">
        <w:rPr>
          <w:rFonts w:asciiTheme="minorHAnsi" w:eastAsia="Calibri" w:hAnsiTheme="minorHAnsi" w:cstheme="minorHAnsi"/>
          <w:b/>
          <w:sz w:val="24"/>
          <w:szCs w:val="24"/>
        </w:rPr>
        <w:t>ella docente</w:t>
      </w:r>
      <w:r w:rsidRPr="00A86EA3">
        <w:rPr>
          <w:rFonts w:asciiTheme="minorHAnsi" w:eastAsia="Calibri" w:hAnsiTheme="minorHAnsi" w:cstheme="minorHAnsi"/>
          <w:sz w:val="24"/>
          <w:szCs w:val="24"/>
        </w:rPr>
        <w:t>:</w:t>
      </w:r>
      <w:r w:rsidR="008025F0" w:rsidRPr="00A86EA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85FDE" w:rsidRPr="00B85FDE">
        <w:rPr>
          <w:rFonts w:asciiTheme="minorHAnsi" w:eastAsia="Calibri" w:hAnsiTheme="minorHAnsi" w:cstheme="minorHAnsi"/>
          <w:sz w:val="24"/>
          <w:szCs w:val="24"/>
        </w:rPr>
        <w:t>Torchia Claudia</w:t>
      </w:r>
    </w:p>
    <w:p w14:paraId="6F45706E" w14:textId="77777777" w:rsidR="00DB1C0D" w:rsidRPr="00B85FDE" w:rsidRDefault="00DB1C0D" w:rsidP="00A86EA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3" w:name="_heading=h.jrsf0v17y9up" w:colFirst="0" w:colLast="0"/>
      <w:bookmarkEnd w:id="3"/>
    </w:p>
    <w:p w14:paraId="55F72F4F" w14:textId="2FB1F0CE" w:rsidR="00DB1C0D" w:rsidRPr="00A86EA3" w:rsidRDefault="00000000" w:rsidP="00A86EA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4" w:name="_heading=h.l4ln8tk5f5mi" w:colFirst="0" w:colLast="0"/>
      <w:bookmarkEnd w:id="4"/>
      <w:r w:rsidRPr="00A86EA3">
        <w:rPr>
          <w:rFonts w:asciiTheme="minorHAnsi" w:eastAsia="Calibri" w:hAnsiTheme="minorHAnsi" w:cstheme="minorHAnsi"/>
          <w:b/>
          <w:sz w:val="24"/>
          <w:szCs w:val="24"/>
        </w:rPr>
        <w:t>Disciplina insegnata</w:t>
      </w:r>
      <w:r w:rsidRPr="00A86EA3">
        <w:rPr>
          <w:rFonts w:asciiTheme="minorHAnsi" w:eastAsia="Calibri" w:hAnsiTheme="minorHAnsi" w:cstheme="minorHAnsi"/>
          <w:sz w:val="24"/>
          <w:szCs w:val="24"/>
        </w:rPr>
        <w:t xml:space="preserve">: </w:t>
      </w:r>
      <w:r w:rsidR="008025F0" w:rsidRPr="00A86EA3">
        <w:rPr>
          <w:rFonts w:asciiTheme="minorHAnsi" w:eastAsia="Calibri" w:hAnsiTheme="minorHAnsi" w:cstheme="minorHAnsi"/>
          <w:sz w:val="24"/>
          <w:szCs w:val="24"/>
        </w:rPr>
        <w:t>Diritto</w:t>
      </w:r>
    </w:p>
    <w:p w14:paraId="06DED394" w14:textId="77777777" w:rsidR="00DB1C0D" w:rsidRPr="00A86EA3" w:rsidRDefault="00DB1C0D" w:rsidP="00A86EA3">
      <w:pP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5" w:name="_heading=h.kz53r8dcjmbb" w:colFirst="0" w:colLast="0"/>
      <w:bookmarkEnd w:id="5"/>
    </w:p>
    <w:p w14:paraId="5F4DA8BA" w14:textId="77777777" w:rsidR="008025F0" w:rsidRPr="00A86EA3" w:rsidRDefault="00000000" w:rsidP="00A86EA3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>Libro/i di testo in uso</w:t>
      </w:r>
      <w:r w:rsidR="008025F0"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8025F0" w:rsidRPr="00A86EA3">
        <w:rPr>
          <w:rFonts w:asciiTheme="minorHAnsi" w:eastAsia="Calibri" w:hAnsiTheme="minorHAnsi" w:cstheme="minorHAnsi"/>
          <w:bCs/>
          <w:sz w:val="24"/>
          <w:szCs w:val="24"/>
        </w:rPr>
        <w:t>Diritto e economia, tra mondo reale e mondo digitale, vol. 2 – di M. razzoli, editore CLITT Zanichelli</w:t>
      </w:r>
    </w:p>
    <w:p w14:paraId="414ED7D0" w14:textId="6EB84D7B" w:rsidR="008025F0" w:rsidRPr="00A86EA3" w:rsidRDefault="008025F0" w:rsidP="00A86EA3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A86EA3">
        <w:rPr>
          <w:rFonts w:asciiTheme="minorHAnsi" w:eastAsia="Calibri" w:hAnsiTheme="minorHAnsi" w:cstheme="minorHAnsi"/>
          <w:bCs/>
          <w:sz w:val="24"/>
          <w:szCs w:val="24"/>
        </w:rPr>
        <w:t xml:space="preserve">Dal momento che il testo adottato tratta un programma </w:t>
      </w:r>
      <w:r w:rsidR="00C0266D">
        <w:rPr>
          <w:rFonts w:asciiTheme="minorHAnsi" w:eastAsia="Calibri" w:hAnsiTheme="minorHAnsi" w:cstheme="minorHAnsi"/>
          <w:bCs/>
          <w:sz w:val="24"/>
          <w:szCs w:val="24"/>
        </w:rPr>
        <w:t xml:space="preserve">non del tutto </w:t>
      </w:r>
      <w:r w:rsidRPr="00A86EA3">
        <w:rPr>
          <w:rFonts w:asciiTheme="minorHAnsi" w:eastAsia="Calibri" w:hAnsiTheme="minorHAnsi" w:cstheme="minorHAnsi"/>
          <w:bCs/>
          <w:sz w:val="24"/>
          <w:szCs w:val="24"/>
        </w:rPr>
        <w:t xml:space="preserve">conforme a quello indicato dalla Regione, si è </w:t>
      </w:r>
      <w:r w:rsidR="00C0266D">
        <w:rPr>
          <w:rFonts w:asciiTheme="minorHAnsi" w:eastAsia="Calibri" w:hAnsiTheme="minorHAnsi" w:cstheme="minorHAnsi"/>
          <w:bCs/>
          <w:sz w:val="24"/>
          <w:szCs w:val="24"/>
        </w:rPr>
        <w:t xml:space="preserve">provvisoriamente </w:t>
      </w:r>
      <w:r w:rsidRPr="00A86EA3">
        <w:rPr>
          <w:rFonts w:asciiTheme="minorHAnsi" w:eastAsia="Calibri" w:hAnsiTheme="minorHAnsi" w:cstheme="minorHAnsi"/>
          <w:bCs/>
          <w:sz w:val="24"/>
          <w:szCs w:val="24"/>
        </w:rPr>
        <w:t>pro</w:t>
      </w:r>
      <w:r w:rsidR="00C0266D">
        <w:rPr>
          <w:rFonts w:asciiTheme="minorHAnsi" w:eastAsia="Calibri" w:hAnsiTheme="minorHAnsi" w:cstheme="minorHAnsi"/>
          <w:bCs/>
          <w:sz w:val="24"/>
          <w:szCs w:val="24"/>
        </w:rPr>
        <w:t>vveduto</w:t>
      </w:r>
      <w:r w:rsidRPr="00A86EA3">
        <w:rPr>
          <w:rFonts w:asciiTheme="minorHAnsi" w:eastAsia="Calibri" w:hAnsiTheme="minorHAnsi" w:cstheme="minorHAnsi"/>
          <w:bCs/>
          <w:sz w:val="24"/>
          <w:szCs w:val="24"/>
        </w:rPr>
        <w:t xml:space="preserve"> ad affiancarlo con l’utilizzo di </w:t>
      </w:r>
      <w:r w:rsidR="0061737F">
        <w:rPr>
          <w:rFonts w:asciiTheme="minorHAnsi" w:eastAsia="Calibri" w:hAnsiTheme="minorHAnsi" w:cstheme="minorHAnsi"/>
          <w:bCs/>
          <w:sz w:val="24"/>
          <w:szCs w:val="24"/>
        </w:rPr>
        <w:t xml:space="preserve">stralci di </w:t>
      </w:r>
      <w:r w:rsidRPr="00A86EA3">
        <w:rPr>
          <w:rFonts w:asciiTheme="minorHAnsi" w:eastAsia="Calibri" w:hAnsiTheme="minorHAnsi" w:cstheme="minorHAnsi"/>
          <w:bCs/>
          <w:sz w:val="24"/>
          <w:szCs w:val="24"/>
        </w:rPr>
        <w:t>un manuale</w:t>
      </w:r>
      <w:r w:rsidR="0061737F">
        <w:rPr>
          <w:rFonts w:asciiTheme="minorHAnsi" w:eastAsia="Calibri" w:hAnsiTheme="minorHAnsi" w:cstheme="minorHAnsi"/>
          <w:bCs/>
          <w:sz w:val="24"/>
          <w:szCs w:val="24"/>
        </w:rPr>
        <w:t>,</w:t>
      </w:r>
      <w:r w:rsidRPr="00A86EA3">
        <w:rPr>
          <w:rFonts w:asciiTheme="minorHAnsi" w:eastAsia="Calibri" w:hAnsiTheme="minorHAnsi" w:cstheme="minorHAnsi"/>
          <w:bCs/>
          <w:sz w:val="24"/>
          <w:szCs w:val="24"/>
        </w:rPr>
        <w:t xml:space="preserve"> precedentemente in uso nella stessa </w:t>
      </w:r>
      <w:r w:rsidR="0061737F">
        <w:rPr>
          <w:rFonts w:asciiTheme="minorHAnsi" w:eastAsia="Calibri" w:hAnsiTheme="minorHAnsi" w:cstheme="minorHAnsi"/>
          <w:bCs/>
          <w:sz w:val="24"/>
          <w:szCs w:val="24"/>
        </w:rPr>
        <w:t>S</w:t>
      </w:r>
      <w:r w:rsidRPr="00A86EA3">
        <w:rPr>
          <w:rFonts w:asciiTheme="minorHAnsi" w:eastAsia="Calibri" w:hAnsiTheme="minorHAnsi" w:cstheme="minorHAnsi"/>
          <w:bCs/>
          <w:sz w:val="24"/>
          <w:szCs w:val="24"/>
        </w:rPr>
        <w:t>cuola</w:t>
      </w:r>
      <w:r w:rsidR="0061737F">
        <w:rPr>
          <w:rFonts w:asciiTheme="minorHAnsi" w:eastAsia="Calibri" w:hAnsiTheme="minorHAnsi" w:cstheme="minorHAnsi"/>
          <w:bCs/>
          <w:sz w:val="24"/>
          <w:szCs w:val="24"/>
        </w:rPr>
        <w:t>,</w:t>
      </w:r>
      <w:r w:rsidRPr="00A86EA3">
        <w:rPr>
          <w:rFonts w:asciiTheme="minorHAnsi" w:eastAsia="Calibri" w:hAnsiTheme="minorHAnsi" w:cstheme="minorHAnsi"/>
          <w:bCs/>
          <w:sz w:val="24"/>
          <w:szCs w:val="24"/>
        </w:rPr>
        <w:t xml:space="preserve"> “Le basi di diritto e economia nell’organizzazione del lavoro” di AA.VV. editrice San Marco. </w:t>
      </w:r>
      <w:r w:rsidR="0061737F">
        <w:rPr>
          <w:rFonts w:asciiTheme="minorHAnsi" w:eastAsia="Calibri" w:hAnsiTheme="minorHAnsi" w:cstheme="minorHAnsi"/>
          <w:bCs/>
          <w:sz w:val="24"/>
          <w:szCs w:val="24"/>
        </w:rPr>
        <w:t>Ci si riserva di produrre eventualmente, altro materiale integrativo.</w:t>
      </w:r>
    </w:p>
    <w:p w14:paraId="75EB7AD3" w14:textId="77777777" w:rsidR="00DB1C0D" w:rsidRPr="00A86EA3" w:rsidRDefault="00DB1C0D" w:rsidP="00A86EA3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5D3E8AF" w14:textId="215ADBF4" w:rsidR="00DB1C0D" w:rsidRPr="00A86EA3" w:rsidRDefault="00000000" w:rsidP="00A86EA3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>Classe e Sezione</w:t>
      </w:r>
      <w:r w:rsidR="008025F0"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8025F0" w:rsidRPr="00A86EA3">
        <w:rPr>
          <w:rFonts w:asciiTheme="minorHAnsi" w:eastAsia="Calibri" w:hAnsiTheme="minorHAnsi" w:cstheme="minorHAnsi"/>
          <w:bCs/>
          <w:sz w:val="24"/>
          <w:szCs w:val="24"/>
        </w:rPr>
        <w:t>2^ O</w:t>
      </w:r>
      <w:r w:rsidR="008025F0"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0D92817B" w14:textId="77777777" w:rsidR="00DB1C0D" w:rsidRPr="00A86EA3" w:rsidRDefault="00DB1C0D" w:rsidP="00A86EA3">
      <w:pPr>
        <w:keepNext/>
        <w:tabs>
          <w:tab w:val="left" w:pos="70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87E017B" w14:textId="52CA3048" w:rsidR="00DB1C0D" w:rsidRPr="00A86EA3" w:rsidRDefault="00000000" w:rsidP="00A86EA3">
      <w:pPr>
        <w:keepNext/>
        <w:tabs>
          <w:tab w:val="left" w:pos="708"/>
        </w:tabs>
        <w:ind w:left="432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>Indirizzo di studio</w:t>
      </w:r>
      <w:r w:rsidR="008025F0"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8025F0" w:rsidRPr="00A86EA3">
        <w:rPr>
          <w:rFonts w:asciiTheme="minorHAnsi" w:eastAsia="Calibri" w:hAnsiTheme="minorHAnsi" w:cstheme="minorHAnsi"/>
          <w:bCs/>
          <w:sz w:val="24"/>
          <w:szCs w:val="24"/>
        </w:rPr>
        <w:t>Operatore del benessere</w:t>
      </w:r>
    </w:p>
    <w:p w14:paraId="4D40FBAD" w14:textId="77777777" w:rsidR="00DB1C0D" w:rsidRPr="00A86EA3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103F5B0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>1. Competenze che si intendono sviluppare o traguardi di competenza</w:t>
      </w:r>
    </w:p>
    <w:p w14:paraId="1FF5329D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>(fare riferimento alle Linee Guida e ai documenti dei dipartimenti)</w:t>
      </w:r>
    </w:p>
    <w:p w14:paraId="0CAE6675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Tali competenze e obiettivi sono stati individuati tenendo conto delle generali finalità educative e formative del nostro Istituto e delle decisioni dei Dipartimenti, dopo una attenta valutazione della situazione di partenza della classe e in continuità con il lavoro degli anni precedenti. Il </w:t>
      </w:r>
      <w:proofErr w:type="spellStart"/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C.d.C</w:t>
      </w:r>
      <w:proofErr w:type="spellEnd"/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. ritiene che gli studenti debbano acquisire le competenze chiave di cittadinanza europee.</w:t>
      </w:r>
    </w:p>
    <w:p w14:paraId="199D500D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Le competenze saranno articolate facendo riferimento agli obiettivi relativi ai principali assi culturali.</w:t>
      </w:r>
    </w:p>
    <w:p w14:paraId="4314C961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  <w:lang w:eastAsia="it-IT"/>
        </w:rPr>
        <w:t>Competenze e Obiettivi relazionali e comportamentali </w:t>
      </w:r>
    </w:p>
    <w:p w14:paraId="0F7E7318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Ogni alunno deve agire in maniera responsabile e corretta nei confronti dello studio, del gruppo classe, dei docenti, nonché delle strutture scolastiche attraverso:</w:t>
      </w:r>
    </w:p>
    <w:p w14:paraId="011225EE" w14:textId="77777777" w:rsidR="007F34C7" w:rsidRPr="00A86EA3" w:rsidRDefault="007F34C7" w:rsidP="00A86EA3">
      <w:pPr>
        <w:numPr>
          <w:ilvl w:val="0"/>
          <w:numId w:val="2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 una partecipazione attiva</w:t>
      </w:r>
      <w:r w:rsidRPr="00A86EA3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al dialogo educativo, nel rispetto delle proprie idee e di quelle altrui; </w:t>
      </w:r>
    </w:p>
    <w:p w14:paraId="3045D681" w14:textId="77777777" w:rsidR="007F34C7" w:rsidRPr="00A86EA3" w:rsidRDefault="007F34C7" w:rsidP="00A86EA3">
      <w:pPr>
        <w:numPr>
          <w:ilvl w:val="0"/>
          <w:numId w:val="2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una partecipazione responsabile alle attività scolastiche, dimostrando di saper lavorare in gruppo, stimolando e contemporaneamente valorizzando il contributo di ciascuno; imparando ad accettare e a confrontarsi con la diversità e a gestire le eventuali conflittualità;</w:t>
      </w:r>
    </w:p>
    <w:p w14:paraId="0242F1CD" w14:textId="77777777" w:rsidR="007F34C7" w:rsidRPr="00A86EA3" w:rsidRDefault="007F34C7" w:rsidP="00A86EA3">
      <w:pPr>
        <w:numPr>
          <w:ilvl w:val="0"/>
          <w:numId w:val="2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lo sviluppo dell’interesse e il potenziamento della partecipazione al processo educativo;</w:t>
      </w:r>
    </w:p>
    <w:p w14:paraId="5D4309C5" w14:textId="77777777" w:rsidR="007F34C7" w:rsidRPr="00A86EA3" w:rsidRDefault="007F34C7" w:rsidP="00A86EA3">
      <w:pPr>
        <w:numPr>
          <w:ilvl w:val="0"/>
          <w:numId w:val="2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 lo sviluppo di un’autonomia operativa nell’ambito delle varie discipline.</w:t>
      </w:r>
    </w:p>
    <w:p w14:paraId="6FDAA6EA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2425E16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lastRenderedPageBreak/>
        <w:t>Ogni alunno deve essere educato al rispetto delle regole, sviluppare la capacità di autocontrollo e di interiorizzazione delle regole e delle norme del vivere civile. Deve sviluppare la consapevolezza delle responsabilità personali nell’agire.</w:t>
      </w:r>
    </w:p>
    <w:p w14:paraId="37204E3B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  <w:lang w:eastAsia="it-IT"/>
        </w:rPr>
        <w:t>Competenze e Obiettivi cognitivi</w:t>
      </w:r>
    </w:p>
    <w:p w14:paraId="6D65F7E9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sz w:val="24"/>
          <w:szCs w:val="24"/>
          <w:lang w:eastAsia="it-IT"/>
        </w:rPr>
        <w:br/>
      </w:r>
    </w:p>
    <w:p w14:paraId="7BE4949C" w14:textId="77777777" w:rsidR="007F34C7" w:rsidRPr="00A86EA3" w:rsidRDefault="007F34C7" w:rsidP="00A86EA3">
      <w:pPr>
        <w:numPr>
          <w:ilvl w:val="0"/>
          <w:numId w:val="3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Utilizzare un metodo di studio efficace.</w:t>
      </w:r>
    </w:p>
    <w:p w14:paraId="0B262554" w14:textId="77777777" w:rsidR="007F34C7" w:rsidRPr="00A86EA3" w:rsidRDefault="007F34C7" w:rsidP="00A86EA3">
      <w:pPr>
        <w:numPr>
          <w:ilvl w:val="0"/>
          <w:numId w:val="3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Comprendere messaggi verbali e scritti, anche in inglese.</w:t>
      </w:r>
    </w:p>
    <w:p w14:paraId="5172B658" w14:textId="77777777" w:rsidR="007F34C7" w:rsidRPr="00A86EA3" w:rsidRDefault="007F34C7" w:rsidP="00A86EA3">
      <w:pPr>
        <w:numPr>
          <w:ilvl w:val="0"/>
          <w:numId w:val="3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Sapere organizzare il lavoro in tempi prefissati.</w:t>
      </w:r>
    </w:p>
    <w:p w14:paraId="38CA3BF7" w14:textId="77777777" w:rsidR="007F34C7" w:rsidRPr="00A86EA3" w:rsidRDefault="007F34C7" w:rsidP="00A86EA3">
      <w:pPr>
        <w:numPr>
          <w:ilvl w:val="0"/>
          <w:numId w:val="3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Applicare in tutti i contesti lavorativi le tecniche e le metodologie apprese.</w:t>
      </w:r>
    </w:p>
    <w:p w14:paraId="416B3F15" w14:textId="77777777" w:rsidR="007F34C7" w:rsidRPr="00A86EA3" w:rsidRDefault="007F34C7" w:rsidP="00A86EA3">
      <w:pPr>
        <w:numPr>
          <w:ilvl w:val="0"/>
          <w:numId w:val="3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Individuare collegamenti e relazioni tra fenomeni e concetti diversi, anche in ambiti disciplinari differenti.</w:t>
      </w:r>
    </w:p>
    <w:p w14:paraId="4A5FE5FD" w14:textId="77777777" w:rsidR="007F34C7" w:rsidRPr="00A86EA3" w:rsidRDefault="007F34C7" w:rsidP="00A86EA3">
      <w:pPr>
        <w:numPr>
          <w:ilvl w:val="0"/>
          <w:numId w:val="3"/>
        </w:numPr>
        <w:suppressAutoHyphens w:val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cercare di</w:t>
      </w:r>
      <w:r w:rsidRPr="00A86EA3">
        <w:rPr>
          <w:rFonts w:asciiTheme="minorHAnsi" w:hAnsiTheme="minorHAnsi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A86EA3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acquisire un linguaggio tecnico specifico delle singole discipline e migliorare le abilità espressive, sia in forma scritta che orale.</w:t>
      </w:r>
    </w:p>
    <w:p w14:paraId="5C070130" w14:textId="77777777" w:rsidR="007F34C7" w:rsidRPr="00A86EA3" w:rsidRDefault="007F34C7" w:rsidP="00A86EA3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145066F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4014A4EB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>(fare riferimento alle Linee Guida e ai documenti dei dipartimenti)</w:t>
      </w:r>
    </w:p>
    <w:p w14:paraId="7307A7FB" w14:textId="7C8A3AD0" w:rsidR="00DB1C0D" w:rsidRPr="00A86EA3" w:rsidRDefault="008025F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Titolo U.F. </w:t>
      </w:r>
      <w:proofErr w:type="spellStart"/>
      <w:r w:rsidRPr="00A86EA3">
        <w:rPr>
          <w:rFonts w:asciiTheme="minorHAnsi" w:eastAsia="Calibri" w:hAnsiTheme="minorHAnsi" w:cstheme="minorHAnsi"/>
          <w:b/>
          <w:bCs/>
          <w:sz w:val="24"/>
          <w:szCs w:val="24"/>
        </w:rPr>
        <w:t>Ecaz</w:t>
      </w:r>
      <w:proofErr w:type="spellEnd"/>
      <w:r w:rsidRPr="00A86EA3">
        <w:rPr>
          <w:rFonts w:asciiTheme="minorHAnsi" w:eastAsia="Calibri" w:hAnsiTheme="minorHAnsi" w:cstheme="minorHAnsi"/>
          <w:b/>
          <w:bCs/>
          <w:sz w:val="24"/>
          <w:szCs w:val="24"/>
        </w:rPr>
        <w:t>. 2.1 e Dir. 2.1</w:t>
      </w:r>
    </w:p>
    <w:p w14:paraId="07C43582" w14:textId="45250A03" w:rsidR="00DB1C0D" w:rsidRPr="00C0266D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0266D">
        <w:rPr>
          <w:rFonts w:asciiTheme="minorHAnsi" w:eastAsia="Calibri" w:hAnsiTheme="minorHAnsi" w:cstheme="minorHAnsi"/>
          <w:b/>
          <w:sz w:val="24"/>
          <w:szCs w:val="24"/>
        </w:rPr>
        <w:t xml:space="preserve">Titolo attività di riferimento: </w:t>
      </w:r>
      <w:r w:rsidR="008025F0" w:rsidRPr="00C0266D">
        <w:rPr>
          <w:rFonts w:asciiTheme="minorHAnsi" w:eastAsia="Calibri" w:hAnsiTheme="minorHAnsi" w:cstheme="minorHAnsi"/>
          <w:b/>
          <w:sz w:val="24"/>
          <w:szCs w:val="24"/>
        </w:rPr>
        <w:t>L’azienda, la sua organizzazione, e le più comuni relazioni con l’esterno. Norm</w:t>
      </w:r>
      <w:r w:rsidR="004E4695" w:rsidRPr="00C0266D">
        <w:rPr>
          <w:rFonts w:asciiTheme="minorHAnsi" w:eastAsia="Calibri" w:hAnsiTheme="minorHAnsi" w:cstheme="minorHAnsi"/>
          <w:b/>
          <w:sz w:val="24"/>
          <w:szCs w:val="24"/>
        </w:rPr>
        <w:t>a</w:t>
      </w:r>
      <w:r w:rsidR="008025F0" w:rsidRPr="00C0266D">
        <w:rPr>
          <w:rFonts w:asciiTheme="minorHAnsi" w:eastAsia="Calibri" w:hAnsiTheme="minorHAnsi" w:cstheme="minorHAnsi"/>
          <w:b/>
          <w:sz w:val="24"/>
          <w:szCs w:val="24"/>
        </w:rPr>
        <w:t>tiva regionale di settore. Decreto 81/2008 (l’azienda) (Durata 22 ore)</w:t>
      </w:r>
    </w:p>
    <w:p w14:paraId="0D45704E" w14:textId="77777777" w:rsidR="00DB1C0D" w:rsidRPr="00A86EA3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38B8BBC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eastAsia="Calibri" w:hAnsiTheme="minorHAnsi" w:cstheme="minorHAnsi"/>
          <w:sz w:val="24"/>
          <w:szCs w:val="24"/>
        </w:rPr>
        <w:t>Conoscenze:</w:t>
      </w:r>
    </w:p>
    <w:p w14:paraId="69AF6C8E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Le imposte e le tasse</w:t>
      </w:r>
    </w:p>
    <w:p w14:paraId="4F167EAE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Il rapporto di lavoro dipendente: gli elementi costitutivi della busta paga.</w:t>
      </w:r>
    </w:p>
    <w:p w14:paraId="09CD6D21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L’organizzazione aziendale </w:t>
      </w:r>
    </w:p>
    <w:p w14:paraId="3FB796A9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La programmazione e le previsioni</w:t>
      </w:r>
    </w:p>
    <w:p w14:paraId="5EF9E251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Normativa regionale di settore</w:t>
      </w:r>
    </w:p>
    <w:p w14:paraId="3FDB4339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DLGS.30/06/2003 n.196 Codice in materia di protezione dei dati personali </w:t>
      </w:r>
    </w:p>
    <w:p w14:paraId="4B7CA79A" w14:textId="230D1CAD" w:rsidR="00DB1C0D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I doveri professionali e i diritti del cliente: disposizioni che riguardano l’esercizio ed i limiti della professione di estetista</w:t>
      </w:r>
    </w:p>
    <w:p w14:paraId="50479F3B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836A5FA" w14:textId="19232F8E" w:rsidR="00DB1C0D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eastAsia="Calibri" w:hAnsiTheme="minorHAnsi" w:cstheme="minorHAnsi"/>
          <w:sz w:val="24"/>
          <w:szCs w:val="24"/>
        </w:rPr>
        <w:t>Capacità</w:t>
      </w:r>
    </w:p>
    <w:p w14:paraId="4AD0D867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F67F2D6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L’IRPEF e L’IVA</w:t>
      </w:r>
    </w:p>
    <w:p w14:paraId="3719A3C5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Saper leggere una busta paga</w:t>
      </w:r>
    </w:p>
    <w:p w14:paraId="115DA218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Le funzioni aziendali</w:t>
      </w:r>
    </w:p>
    <w:p w14:paraId="7D8590E6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Il break </w:t>
      </w:r>
      <w:proofErr w:type="spellStart"/>
      <w:r w:rsidRPr="00A86EA3">
        <w:rPr>
          <w:rFonts w:asciiTheme="minorHAnsi" w:hAnsiTheme="minorHAnsi" w:cstheme="minorHAnsi"/>
          <w:sz w:val="24"/>
          <w:szCs w:val="24"/>
        </w:rPr>
        <w:t>even</w:t>
      </w:r>
      <w:proofErr w:type="spellEnd"/>
      <w:r w:rsidRPr="00A86EA3">
        <w:rPr>
          <w:rFonts w:asciiTheme="minorHAnsi" w:hAnsiTheme="minorHAnsi" w:cstheme="minorHAnsi"/>
          <w:sz w:val="24"/>
          <w:szCs w:val="24"/>
        </w:rPr>
        <w:t xml:space="preserve"> point</w:t>
      </w:r>
    </w:p>
    <w:p w14:paraId="21AA5EEE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Legge regionale e Regolamento attuativo</w:t>
      </w:r>
    </w:p>
    <w:p w14:paraId="056095D5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Titoli abilitativi e sanzioni</w:t>
      </w:r>
    </w:p>
    <w:p w14:paraId="4C1D2130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Disciplina in materia di privacy</w:t>
      </w:r>
    </w:p>
    <w:p w14:paraId="338A11EE" w14:textId="6560C2C6" w:rsidR="00DB1C0D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 Nozioni generali di deontologia professionale</w:t>
      </w:r>
    </w:p>
    <w:p w14:paraId="1A7A9AE0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9B465CA" w14:textId="21CEED84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Contenuti formativi</w:t>
      </w:r>
    </w:p>
    <w:p w14:paraId="38A4EB58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F61DFD7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Differenza tra imposte e tasse e le più comuni imposte. </w:t>
      </w:r>
    </w:p>
    <w:p w14:paraId="5EEAF81B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Gli elementi aggiuntivi della busta paga e le ritenute sociali e fiscali. </w:t>
      </w:r>
    </w:p>
    <w:p w14:paraId="7BCFC478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La funzione dell’INPS e dell’INAIL </w:t>
      </w:r>
    </w:p>
    <w:p w14:paraId="66386332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Le funzioni aziendali e il budget </w:t>
      </w:r>
    </w:p>
    <w:p w14:paraId="3BB7732B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La figura professionale dell’estetista e la sua regolamentazione normativa</w:t>
      </w:r>
    </w:p>
    <w:p w14:paraId="44BD6336" w14:textId="63FC3028" w:rsidR="00DB1C0D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Codice in materia di protezione dei dati personali</w:t>
      </w:r>
    </w:p>
    <w:p w14:paraId="5FE0A0CF" w14:textId="77777777" w:rsidR="004E4695" w:rsidRPr="00A86EA3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093FABD" w14:textId="4386713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lastRenderedPageBreak/>
        <w:t>Percorso 2</w:t>
      </w:r>
      <w:r w:rsidR="004E4695"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 Titolo U.F. DIR. 2</w:t>
      </w:r>
    </w:p>
    <w:p w14:paraId="2927135C" w14:textId="6360BC97" w:rsidR="004E4695" w:rsidRPr="00C0266D" w:rsidRDefault="004E4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0266D">
        <w:rPr>
          <w:rFonts w:asciiTheme="minorHAnsi" w:eastAsia="Calibri" w:hAnsiTheme="minorHAnsi" w:cstheme="minorHAnsi"/>
          <w:b/>
          <w:sz w:val="24"/>
          <w:szCs w:val="24"/>
        </w:rPr>
        <w:t>Titolo attività di riferimento: responsabilità giuridiche in situazioni di emergenza</w:t>
      </w:r>
    </w:p>
    <w:p w14:paraId="7FFC5F0E" w14:textId="7D0C24ED" w:rsidR="00DB1C0D" w:rsidRPr="00A86EA3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</w:p>
    <w:p w14:paraId="23A2496C" w14:textId="77777777" w:rsidR="00AA1ED7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Conoscenze</w:t>
      </w:r>
    </w:p>
    <w:p w14:paraId="0FD79F5D" w14:textId="01BE890F" w:rsidR="00DB1C0D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Conoscere le diverse modalità di intervento in casi di emergenza: valutazione delle responsabilità giuridiche. Conoscere gli elementi base della sicurezza di area generale</w:t>
      </w:r>
    </w:p>
    <w:p w14:paraId="5E096F40" w14:textId="77777777" w:rsidR="00DB1C0D" w:rsidRPr="00A86EA3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5A14B31" w14:textId="77777777" w:rsidR="00AA1ED7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Capacità</w:t>
      </w:r>
    </w:p>
    <w:p w14:paraId="2AFDDA7F" w14:textId="72A8ED37" w:rsidR="00DB1C0D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Saper affrontare le situazioni di emergenza. Sapere le norme base sulla sicurezza di area generale</w:t>
      </w:r>
    </w:p>
    <w:p w14:paraId="39F16524" w14:textId="77777777" w:rsidR="00AA1ED7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7461A3C" w14:textId="49EB82E9" w:rsidR="00AA1ED7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Contenuti formativi</w:t>
      </w:r>
    </w:p>
    <w:p w14:paraId="67B3F15B" w14:textId="26EFE8F8" w:rsidR="00DB1C0D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Le diverse modalità di intervento in casi di emergenza: valutazione delle responsabilità giuridiche.</w:t>
      </w:r>
    </w:p>
    <w:p w14:paraId="2FF492B3" w14:textId="77777777" w:rsidR="00AA1ED7" w:rsidRPr="00A86EA3" w:rsidRDefault="00AA1ED7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D3F2B3D" w14:textId="77777777" w:rsidR="00DB1C0D" w:rsidRPr="00B85FDE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3. Attività o percorsi didattici concordati nel </w:t>
      </w:r>
      <w:proofErr w:type="spellStart"/>
      <w:r w:rsidRPr="00A86EA3">
        <w:rPr>
          <w:rFonts w:asciiTheme="minorHAnsi" w:eastAsia="Calibri" w:hAnsiTheme="minorHAnsi" w:cstheme="minorHAnsi"/>
          <w:b/>
          <w:sz w:val="24"/>
          <w:szCs w:val="24"/>
        </w:rPr>
        <w:t>CdC</w:t>
      </w:r>
      <w:proofErr w:type="spellEnd"/>
      <w:r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 a livello interdisciplinare - </w:t>
      </w:r>
      <w:r w:rsidRPr="00B85FDE">
        <w:rPr>
          <w:rFonts w:asciiTheme="minorHAnsi" w:eastAsia="Calibri" w:hAnsiTheme="minorHAnsi" w:cstheme="minorHAnsi"/>
          <w:b/>
          <w:sz w:val="24"/>
          <w:szCs w:val="24"/>
        </w:rPr>
        <w:t>Educazione civica</w:t>
      </w:r>
    </w:p>
    <w:p w14:paraId="7B6AB4AC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>(descrizione di conoscenze, abilità e competenze che si intendono raggiungere o sviluppare)</w:t>
      </w:r>
    </w:p>
    <w:p w14:paraId="2CECD931" w14:textId="59B1034C" w:rsidR="00B85FDE" w:rsidRDefault="00B85FDE" w:rsidP="00B85F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color w:val="FF0000"/>
          <w:sz w:val="24"/>
          <w:szCs w:val="24"/>
        </w:rPr>
      </w:pPr>
      <w:bookmarkStart w:id="6" w:name="_Hlk152267828"/>
    </w:p>
    <w:p w14:paraId="360B9119" w14:textId="77777777" w:rsidR="00C609E9" w:rsidRDefault="00C609E9" w:rsidP="00C609E9">
      <w:pPr>
        <w:widowControl w:val="0"/>
        <w:suppressAutoHyphens w:val="0"/>
        <w:autoSpaceDE w:val="0"/>
        <w:autoSpaceDN w:val="0"/>
        <w:ind w:left="113"/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</w:pPr>
      <w:proofErr w:type="gramStart"/>
      <w:r>
        <w:rPr>
          <w:rFonts w:ascii="Calibri" w:eastAsia="Calibri" w:hAnsi="Calibri"/>
          <w:sz w:val="24"/>
          <w:szCs w:val="24"/>
          <w:highlight w:val="lightGray"/>
          <w:lang w:eastAsia="en-US"/>
        </w:rPr>
        <w:t>Area</w:t>
      </w:r>
      <w:r>
        <w:rPr>
          <w:rFonts w:ascii="Calibri" w:eastAsia="Calibri" w:hAnsi="Calibri"/>
          <w:spacing w:val="-4"/>
          <w:sz w:val="24"/>
          <w:szCs w:val="24"/>
          <w:highlight w:val="lightGray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highlight w:val="lightGray"/>
          <w:lang w:eastAsia="en-US"/>
        </w:rPr>
        <w:t>:</w:t>
      </w:r>
      <w:proofErr w:type="gramEnd"/>
      <w:r>
        <w:rPr>
          <w:rFonts w:ascii="Calibri" w:eastAsia="Calibri" w:hAnsi="Calibri"/>
          <w:spacing w:val="-2"/>
          <w:sz w:val="24"/>
          <w:szCs w:val="24"/>
          <w:highlight w:val="lightGray"/>
          <w:lang w:eastAsia="en-US"/>
        </w:rPr>
        <w:t xml:space="preserve"> </w:t>
      </w:r>
      <w:r>
        <w:rPr>
          <w:rFonts w:ascii="Calibri" w:eastAsia="Calibri" w:hAnsi="Calibri"/>
          <w:spacing w:val="-2"/>
          <w:sz w:val="24"/>
          <w:szCs w:val="24"/>
          <w:highlight w:val="lightGray"/>
          <w:u w:val="single"/>
          <w:lang w:eastAsia="en-US"/>
        </w:rPr>
        <w:t>Cittadinanza Digitale</w:t>
      </w:r>
    </w:p>
    <w:p w14:paraId="74CA4851" w14:textId="77777777" w:rsidR="00C609E9" w:rsidRDefault="00C609E9" w:rsidP="00C609E9">
      <w:pPr>
        <w:widowControl w:val="0"/>
        <w:suppressAutoHyphens w:val="0"/>
        <w:autoSpaceDE w:val="0"/>
        <w:autoSpaceDN w:val="0"/>
        <w:ind w:left="113" w:right="6499"/>
        <w:rPr>
          <w:rFonts w:ascii="Calibri" w:eastAsia="Calibri" w:hAnsi="Calibri"/>
          <w:sz w:val="24"/>
          <w:szCs w:val="24"/>
          <w:u w:val="single"/>
          <w:lang w:eastAsia="en-US"/>
        </w:rPr>
      </w:pPr>
      <w:proofErr w:type="gramStart"/>
      <w:r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  <w:t>Tema</w:t>
      </w:r>
      <w:r>
        <w:rPr>
          <w:rFonts w:ascii="Calibri" w:eastAsia="Calibri" w:hAnsi="Calibri"/>
          <w:spacing w:val="-14"/>
          <w:sz w:val="24"/>
          <w:szCs w:val="24"/>
          <w:highlight w:val="lightGray"/>
          <w:u w:val="single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  <w:t>:</w:t>
      </w:r>
      <w:proofErr w:type="gramEnd"/>
      <w:r>
        <w:rPr>
          <w:rFonts w:ascii="Calibri" w:eastAsia="Calibri" w:hAnsi="Calibri"/>
          <w:spacing w:val="-14"/>
          <w:sz w:val="24"/>
          <w:szCs w:val="24"/>
          <w:highlight w:val="lightGray"/>
          <w:u w:val="single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highlight w:val="lightGray"/>
          <w:u w:val="single"/>
          <w:lang w:eastAsia="en-US"/>
        </w:rPr>
        <w:t>La reputazione on-line Durata : 3 ore</w:t>
      </w:r>
    </w:p>
    <w:p w14:paraId="0F453C45" w14:textId="77777777" w:rsidR="00C609E9" w:rsidRDefault="00C609E9" w:rsidP="00C609E9">
      <w:pPr>
        <w:widowControl w:val="0"/>
        <w:suppressAutoHyphens w:val="0"/>
        <w:autoSpaceDE w:val="0"/>
        <w:autoSpaceDN w:val="0"/>
        <w:ind w:left="113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Periodo</w:t>
      </w:r>
      <w:r>
        <w:rPr>
          <w:rFonts w:ascii="Calibri" w:eastAsia="Calibri" w:hAnsi="Calibri"/>
          <w:spacing w:val="-4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>di</w:t>
      </w:r>
      <w:r>
        <w:rPr>
          <w:rFonts w:ascii="Calibri" w:eastAsia="Calibri" w:hAnsi="Calibri"/>
          <w:spacing w:val="-3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>svolgimento:</w:t>
      </w:r>
      <w:r>
        <w:rPr>
          <w:rFonts w:ascii="Calibri" w:eastAsia="Calibri" w:hAnsi="Calibri"/>
          <w:spacing w:val="-3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>1</w:t>
      </w:r>
      <w:r>
        <w:rPr>
          <w:rFonts w:ascii="Calibri" w:eastAsia="Calibri" w:hAnsi="Calibri"/>
          <w:spacing w:val="-3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pacing w:val="-2"/>
          <w:sz w:val="24"/>
          <w:szCs w:val="24"/>
          <w:lang w:eastAsia="en-US"/>
        </w:rPr>
        <w:t>quadrimestre</w:t>
      </w:r>
    </w:p>
    <w:p w14:paraId="52A45A62" w14:textId="77777777" w:rsidR="00B85FDE" w:rsidRPr="00CA7AE0" w:rsidRDefault="00B85FDE" w:rsidP="00B85F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color w:val="FF0000"/>
          <w:sz w:val="24"/>
          <w:szCs w:val="24"/>
        </w:rPr>
      </w:pPr>
    </w:p>
    <w:p w14:paraId="1C0A5DDD" w14:textId="234CEA17" w:rsidR="0048161B" w:rsidRPr="005F3F23" w:rsidRDefault="0048161B" w:rsidP="0048161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3F23">
        <w:rPr>
          <w:rFonts w:asciiTheme="minorHAnsi" w:eastAsia="Calibri" w:hAnsiTheme="minorHAnsi" w:cstheme="minorHAnsi"/>
          <w:sz w:val="24"/>
          <w:szCs w:val="24"/>
        </w:rPr>
        <w:t>La disciplina è soggetta a valutazioni e concorre alla determinazione collegiale del voto di comportamento.</w:t>
      </w:r>
      <w:r w:rsidR="00CA7AE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F3F23">
        <w:rPr>
          <w:rFonts w:asciiTheme="minorHAnsi" w:eastAsia="Calibri" w:hAnsiTheme="minorHAnsi" w:cstheme="minorHAnsi"/>
          <w:sz w:val="24"/>
          <w:szCs w:val="24"/>
        </w:rPr>
        <w:t>Per le verifiche di Educazione civica si utilizzano modalità variegate di restituzione ed elaborazione con obiettivo la valorizzazione delle capacità degli studenti: prove scritte, orali, pratiche, di gruppo.</w:t>
      </w:r>
      <w:r w:rsidR="00CA7AE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F3F23">
        <w:rPr>
          <w:rFonts w:asciiTheme="minorHAnsi" w:eastAsia="Calibri" w:hAnsiTheme="minorHAnsi" w:cstheme="minorHAnsi"/>
          <w:sz w:val="24"/>
          <w:szCs w:val="24"/>
        </w:rPr>
        <w:t>I criteri di valutazione esplicitati nel PTOF sono integrati dai seguenti: partecipazione alle attività; rispetto degli impegni; senso di responsabilità nell’affrontare eventuali difficoltà, nello svolgere lavori cooperativi e di gruppo; qualità degli elaborati prodotti e capacità di esporli.</w:t>
      </w:r>
    </w:p>
    <w:p w14:paraId="54BF96CA" w14:textId="77777777" w:rsidR="0048161B" w:rsidRPr="005F3F23" w:rsidRDefault="0048161B" w:rsidP="0048161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6738834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4. Tipologie di verifica, elaborati ed esercitazioni </w:t>
      </w:r>
    </w:p>
    <w:p w14:paraId="393CEF0F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A3C798F" w14:textId="3A2CA459" w:rsidR="009630C9" w:rsidRPr="00A86EA3" w:rsidRDefault="009630C9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Verifiche formative: test, domande dal posto, correzione dei compiti assegnati a casa, esercizi in classe. Verifiche sommative: prove scritte e orali strutturate e </w:t>
      </w:r>
      <w:proofErr w:type="spellStart"/>
      <w:r w:rsidRPr="00A86EA3">
        <w:rPr>
          <w:rFonts w:asciiTheme="minorHAnsi" w:hAnsiTheme="minorHAnsi" w:cstheme="minorHAnsi"/>
          <w:sz w:val="24"/>
          <w:szCs w:val="24"/>
        </w:rPr>
        <w:t>semistrutturate</w:t>
      </w:r>
      <w:proofErr w:type="spellEnd"/>
      <w:r w:rsidRPr="00A86EA3">
        <w:rPr>
          <w:rFonts w:asciiTheme="minorHAnsi" w:hAnsiTheme="minorHAnsi" w:cstheme="minorHAnsi"/>
          <w:sz w:val="24"/>
          <w:szCs w:val="24"/>
        </w:rPr>
        <w:t>.</w:t>
      </w:r>
    </w:p>
    <w:p w14:paraId="6AC2CDFE" w14:textId="4CD39426" w:rsidR="00DB1C0D" w:rsidRPr="00A86EA3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26AFD11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>5. Criteri per le valutazioni</w:t>
      </w:r>
      <w:r w:rsidRPr="00A86EA3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1D7B498C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 xml:space="preserve">(fare riferimento a tutti i criteri di valutazione deliberati nel </w:t>
      </w:r>
      <w:proofErr w:type="spellStart"/>
      <w:r w:rsidRPr="00A86EA3">
        <w:rPr>
          <w:rFonts w:asciiTheme="minorHAnsi" w:eastAsia="Calibri" w:hAnsiTheme="minorHAnsi" w:cstheme="minorHAnsi"/>
          <w:i/>
          <w:sz w:val="24"/>
          <w:szCs w:val="24"/>
        </w:rPr>
        <w:t>Ptof</w:t>
      </w:r>
      <w:proofErr w:type="spellEnd"/>
      <w:r w:rsidRPr="00A86EA3">
        <w:rPr>
          <w:rFonts w:asciiTheme="minorHAnsi" w:eastAsia="Calibri" w:hAnsiTheme="minorHAnsi" w:cstheme="minorHAnsi"/>
          <w:i/>
          <w:sz w:val="24"/>
          <w:szCs w:val="24"/>
        </w:rPr>
        <w:t xml:space="preserve"> aggiornamento triennale 22/25; indicare solo le variazioni rispetto a quanto inserito nel PTOF))</w:t>
      </w:r>
    </w:p>
    <w:p w14:paraId="64DF448F" w14:textId="4B9C8195" w:rsidR="00735695" w:rsidRPr="00A86EA3" w:rsidRDefault="00735695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>Per le valutazioni ci si attiene ai criteri indicati nel PTOF e si tiene conto dei descrittori relativi a comprensione, conoscenza, capacità acquisite, correttezza terminologica.</w:t>
      </w:r>
    </w:p>
    <w:p w14:paraId="1EDA07E1" w14:textId="77777777" w:rsidR="00DB1C0D" w:rsidRPr="00A86EA3" w:rsidRDefault="00DB1C0D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D6D0307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A86EA3">
        <w:rPr>
          <w:rFonts w:asciiTheme="minorHAnsi" w:eastAsia="Calibri" w:hAnsiTheme="minorHAnsi" w:cstheme="minorHAnsi"/>
          <w:b/>
          <w:sz w:val="24"/>
          <w:szCs w:val="24"/>
        </w:rPr>
        <w:t xml:space="preserve">6. Metodi e strategie didattiche </w:t>
      </w:r>
    </w:p>
    <w:p w14:paraId="4A19F78A" w14:textId="77777777" w:rsidR="00DB1C0D" w:rsidRPr="00A86EA3" w:rsidRDefault="00000000" w:rsidP="00A86E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A86EA3">
        <w:rPr>
          <w:rFonts w:asciiTheme="minorHAnsi" w:eastAsia="Calibri" w:hAnsiTheme="minorHAnsi" w:cstheme="minorHAns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777C8471" w14:textId="02FA1C12" w:rsidR="00DB1C0D" w:rsidRDefault="00735695" w:rsidP="0048161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86EA3">
        <w:rPr>
          <w:rFonts w:asciiTheme="minorHAnsi" w:hAnsiTheme="minorHAnsi" w:cstheme="minorHAnsi"/>
          <w:sz w:val="24"/>
          <w:szCs w:val="24"/>
        </w:rPr>
        <w:t xml:space="preserve">Lezione frontale e dialogata con predisposizione eventuale di mappe per facilitare l'apprendimento. Potranno essere utilizzati: cooperative learning, peer tutoring, flipper </w:t>
      </w:r>
      <w:proofErr w:type="spellStart"/>
      <w:r w:rsidRPr="00A86EA3">
        <w:rPr>
          <w:rFonts w:asciiTheme="minorHAnsi" w:hAnsiTheme="minorHAnsi" w:cstheme="minorHAnsi"/>
          <w:sz w:val="24"/>
          <w:szCs w:val="24"/>
        </w:rPr>
        <w:t>classroom</w:t>
      </w:r>
      <w:proofErr w:type="spellEnd"/>
      <w:r w:rsidRPr="00A86EA3">
        <w:rPr>
          <w:rFonts w:asciiTheme="minorHAnsi" w:hAnsiTheme="minorHAnsi" w:cstheme="minorHAnsi"/>
          <w:sz w:val="24"/>
          <w:szCs w:val="24"/>
        </w:rPr>
        <w:t>. Durante le ore di laboratorio verranno visti filmati di approfondimento.</w:t>
      </w:r>
      <w:bookmarkEnd w:id="6"/>
    </w:p>
    <w:p w14:paraId="18880422" w14:textId="77777777" w:rsidR="0048161B" w:rsidRPr="00A86EA3" w:rsidRDefault="0048161B" w:rsidP="0048161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CFEF086" w14:textId="434DA3A7" w:rsidR="00DB1C0D" w:rsidRPr="00C609E9" w:rsidRDefault="00000000" w:rsidP="00A86EA3">
      <w:pPr>
        <w:tabs>
          <w:tab w:val="center" w:pos="7088"/>
        </w:tabs>
        <w:spacing w:before="100" w:after="10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86EA3">
        <w:rPr>
          <w:rFonts w:asciiTheme="minorHAnsi" w:eastAsia="Calibri" w:hAnsiTheme="minorHAnsi" w:cstheme="minorHAnsi"/>
          <w:sz w:val="24"/>
          <w:szCs w:val="24"/>
        </w:rPr>
        <w:t>Pisa li</w:t>
      </w:r>
      <w:r w:rsidR="00C609E9">
        <w:rPr>
          <w:rFonts w:asciiTheme="minorHAnsi" w:eastAsia="Calibri" w:hAnsiTheme="minorHAnsi" w:cstheme="minorHAnsi"/>
          <w:sz w:val="24"/>
          <w:szCs w:val="24"/>
        </w:rPr>
        <w:t>,</w:t>
      </w:r>
      <w:r w:rsidRPr="00A86EA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C609E9" w:rsidRPr="00C609E9">
        <w:rPr>
          <w:rFonts w:asciiTheme="minorHAnsi" w:eastAsia="Calibri" w:hAnsiTheme="minorHAnsi" w:cstheme="minorHAnsi"/>
          <w:sz w:val="24"/>
          <w:szCs w:val="24"/>
        </w:rPr>
        <w:t>18</w:t>
      </w:r>
      <w:r w:rsidR="00C0266D" w:rsidRPr="00C609E9">
        <w:rPr>
          <w:rFonts w:asciiTheme="minorHAnsi" w:eastAsia="Calibri" w:hAnsiTheme="minorHAnsi" w:cstheme="minorHAnsi"/>
          <w:sz w:val="24"/>
          <w:szCs w:val="24"/>
        </w:rPr>
        <w:t xml:space="preserve"> novembre 202</w:t>
      </w:r>
      <w:r w:rsidR="00C609E9" w:rsidRPr="00C609E9">
        <w:rPr>
          <w:rFonts w:asciiTheme="minorHAnsi" w:eastAsia="Calibri" w:hAnsiTheme="minorHAnsi" w:cstheme="minorHAnsi"/>
          <w:sz w:val="24"/>
          <w:szCs w:val="24"/>
        </w:rPr>
        <w:t xml:space="preserve">4 </w:t>
      </w:r>
      <w:r w:rsidRPr="00C609E9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</w:t>
      </w:r>
      <w:r w:rsidR="00C609E9" w:rsidRPr="00C609E9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                        </w:t>
      </w:r>
      <w:r w:rsidR="00C0266D" w:rsidRPr="00C609E9">
        <w:rPr>
          <w:rFonts w:asciiTheme="minorHAnsi" w:eastAsia="Calibri" w:hAnsiTheme="minorHAnsi" w:cstheme="minorHAnsi"/>
          <w:sz w:val="24"/>
          <w:szCs w:val="24"/>
        </w:rPr>
        <w:t>L</w:t>
      </w:r>
      <w:r w:rsidRPr="00C609E9">
        <w:rPr>
          <w:rFonts w:asciiTheme="minorHAnsi" w:eastAsia="Calibri" w:hAnsiTheme="minorHAnsi" w:cstheme="minorHAnsi"/>
          <w:sz w:val="24"/>
          <w:szCs w:val="24"/>
        </w:rPr>
        <w:t>a docente</w:t>
      </w:r>
    </w:p>
    <w:p w14:paraId="3E935412" w14:textId="3A46A5A6" w:rsidR="00C609E9" w:rsidRPr="00C609E9" w:rsidRDefault="00C609E9" w:rsidP="00A86EA3">
      <w:pPr>
        <w:tabs>
          <w:tab w:val="center" w:pos="7088"/>
        </w:tabs>
        <w:spacing w:before="100" w:after="10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609E9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Prof.ssa Torchia Claudia</w:t>
      </w:r>
    </w:p>
    <w:sectPr w:rsidR="00C609E9" w:rsidRPr="00C609E9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panose1 w:val="020B060602020203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40955"/>
    <w:multiLevelType w:val="multilevel"/>
    <w:tmpl w:val="4C1A0D7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36911E5"/>
    <w:multiLevelType w:val="multilevel"/>
    <w:tmpl w:val="3FCC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C0689"/>
    <w:multiLevelType w:val="multilevel"/>
    <w:tmpl w:val="CA5C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606638">
    <w:abstractNumId w:val="0"/>
  </w:num>
  <w:num w:numId="2" w16cid:durableId="830753234">
    <w:abstractNumId w:val="2"/>
  </w:num>
  <w:num w:numId="3" w16cid:durableId="41478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0D"/>
    <w:rsid w:val="0048161B"/>
    <w:rsid w:val="004E4695"/>
    <w:rsid w:val="005B0375"/>
    <w:rsid w:val="0061737F"/>
    <w:rsid w:val="00735695"/>
    <w:rsid w:val="007B329A"/>
    <w:rsid w:val="007C38E3"/>
    <w:rsid w:val="007F34C7"/>
    <w:rsid w:val="008025F0"/>
    <w:rsid w:val="008124C9"/>
    <w:rsid w:val="009630C9"/>
    <w:rsid w:val="009D5AD4"/>
    <w:rsid w:val="00A86EA3"/>
    <w:rsid w:val="00AA1ED7"/>
    <w:rsid w:val="00AE7B65"/>
    <w:rsid w:val="00B85FDE"/>
    <w:rsid w:val="00C0266D"/>
    <w:rsid w:val="00C37EB7"/>
    <w:rsid w:val="00C609E9"/>
    <w:rsid w:val="00CA7AE0"/>
    <w:rsid w:val="00D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1327"/>
  <w15:docId w15:val="{75EA3B97-DBCA-47E8-A57C-CB1FE6B8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Claudia Torchia</cp:lastModifiedBy>
  <cp:revision>7</cp:revision>
  <dcterms:created xsi:type="dcterms:W3CDTF">2024-11-04T09:05:00Z</dcterms:created>
  <dcterms:modified xsi:type="dcterms:W3CDTF">2024-11-18T11:35:00Z</dcterms:modified>
</cp:coreProperties>
</file>